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(別紙様式第15号)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firstLine="4305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tabs>
          <w:tab w:val="left" w:pos="9030"/>
        </w:tabs>
        <w:spacing w:before="240" w:lineRule="auto"/>
        <w:ind w:firstLine="408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6">
      <w:pPr>
        <w:widowControl w:val="0"/>
        <w:tabs>
          <w:tab w:val="left" w:pos="9030"/>
        </w:tabs>
        <w:ind w:firstLine="4305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銀行等との契約締結状況の公表場所の（新規開設・変更）に関する届出書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銀行法第52条の61の10第3項の規定に基づき、当社は銀行等預金等受入金融機関との契約締結状況の公表場所を（新規開設・変更）</w:t>
      </w:r>
      <w:r w:rsidDel="00000000" w:rsidR="00000000" w:rsidRPr="00000000">
        <w:rPr>
          <w:sz w:val="16"/>
          <w:szCs w:val="16"/>
          <w:rtl w:val="0"/>
        </w:rPr>
        <w:t xml:space="preserve">＜該当に○もしくは非該当に消し線＞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しましたので、定款の施行に関する規則第</w:t>
      </w:r>
      <w:r w:rsidDel="00000000" w:rsidR="00000000" w:rsidRPr="00000000">
        <w:rPr>
          <w:color w:val="000000"/>
          <w:rtl w:val="0"/>
        </w:rPr>
        <w:t xml:space="preserve">7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条第</w:t>
      </w:r>
      <w:r w:rsidDel="00000000" w:rsidR="00000000" w:rsidRPr="00000000">
        <w:rPr>
          <w:color w:val="000000"/>
          <w:rtl w:val="0"/>
        </w:rPr>
        <w:t xml:space="preserve">1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項</w:t>
      </w:r>
      <w:r w:rsidDel="00000000" w:rsidR="00000000" w:rsidRPr="00000000">
        <w:rPr>
          <w:color w:val="000000"/>
          <w:rtl w:val="0"/>
        </w:rPr>
        <w:t xml:space="preserve">第9号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の規定に従いお届けします。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33"/>
        <w:gridCol w:w="6945"/>
        <w:tblGridChange w:id="0">
          <w:tblGrid>
            <w:gridCol w:w="2033"/>
            <w:gridCol w:w="6945"/>
          </w:tblGrid>
        </w:tblGridChange>
      </w:tblGrid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従前の公表場所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（変更の場合のみ）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今後の公表場所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84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注）１．公表場所とは、URLと考えて差し支えない。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420"/>
        <w:contextualSpacing w:val="0"/>
        <w:jc w:val="both"/>
        <w:rPr>
          <w:color w:val="000000"/>
          <w:sz w:val="21"/>
          <w:szCs w:val="21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1"/>
          <w:szCs w:val="21"/>
          <w:rtl w:val="0"/>
        </w:rPr>
        <w:t xml:space="preserve"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sectPr>
      <w:headerReference r:id="rId6" w:type="default"/>
      <w:pgSz w:h="16838" w:w="11906"/>
      <w:pgMar w:bottom="1021" w:top="1418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