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(別紙様式第19号)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電子決済等代行業の開始等に関する届出書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銀行法第53条第5項の規定に基づき、当社は次の事項を内閣総理大臣に届け出ましたので、定款の施行に関する規則第7条第1項第13号の規定に従いお届けします。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5"/>
        <w:gridCol w:w="2541"/>
        <w:gridCol w:w="6022"/>
        <w:tblGridChange w:id="0">
          <w:tblGrid>
            <w:gridCol w:w="415"/>
            <w:gridCol w:w="2541"/>
            <w:gridCol w:w="6022"/>
          </w:tblGrid>
        </w:tblGridChange>
      </w:tblGrid>
      <w:tr>
        <w:trPr>
          <w:trHeight w:val="5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届け出た事項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届け出の内容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１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電子決済等代行業の開始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開始日　　＿年＿月＿日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銀行等との接続契約の締結、変更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接続銀行等　　　　　　　　＿＿＿＿＿＿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契約締結日　　　　　　　　＿年＿月＿日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接続開始（予定）日　　　　＿年＿月＿日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銀行等との接続契約の変更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接続銀行等　　　　　　　　＿＿＿＿＿＿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契約変更日　　　　　　　　＿年＿月＿日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契約変更内容：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定款又はこれに準ずる定めの変更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変更日　　　　　　　　　　＿年＿月＿日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変更内容：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電子決済等代行業の他に営む業務の種類の変更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84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注）１．変更のある事項のみを記載すること。</w:t>
      </w:r>
      <w:r w:rsidDel="00000000" w:rsidR="00000000" w:rsidRPr="00000000">
        <w:rPr>
          <w:sz w:val="21"/>
          <w:szCs w:val="21"/>
          <w:rtl w:val="0"/>
        </w:rPr>
        <w:t xml:space="preserve">上記表には概要のみ記載し、詳細は添付別紙参照とすることも可。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42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sectPr>
      <w:headerReference r:id="rId6" w:type="default"/>
      <w:pgSz w:h="16838" w:w="11906"/>
      <w:pgMar w:bottom="1021" w:top="1418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